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8AF" w:rsidRDefault="00A878AF" w:rsidP="00A878AF">
      <w:pPr>
        <w:widowControl/>
        <w:spacing w:line="360" w:lineRule="auto"/>
        <w:textAlignment w:val="baseline"/>
        <w:rPr>
          <w:rFonts w:ascii="宋体" w:eastAsia="宋体" w:hAnsi="宋体" w:cs="Times New Roman"/>
          <w:b/>
          <w:bCs/>
          <w:color w:val="333333"/>
          <w:kern w:val="0"/>
          <w:szCs w:val="21"/>
        </w:rPr>
      </w:pPr>
      <w:r>
        <w:rPr>
          <w:rFonts w:ascii="宋体" w:eastAsia="宋体" w:hAnsi="宋体" w:cs="Times New Roman" w:hint="eastAsia"/>
          <w:b/>
          <w:bCs/>
          <w:color w:val="333333"/>
          <w:kern w:val="0"/>
          <w:szCs w:val="21"/>
        </w:rPr>
        <w:t>附件：一、项目需求</w:t>
      </w:r>
    </w:p>
    <w:p w:rsidR="00A878AF" w:rsidRDefault="00A878AF" w:rsidP="00A878AF">
      <w:pPr>
        <w:spacing w:line="360" w:lineRule="auto"/>
        <w:rPr>
          <w:rFonts w:ascii="宋体" w:eastAsia="宋体" w:hAnsi="宋体"/>
          <w:b/>
          <w:bCs/>
          <w:szCs w:val="21"/>
        </w:rPr>
      </w:pPr>
      <w:r>
        <w:rPr>
          <w:rFonts w:ascii="宋体" w:eastAsia="宋体" w:hAnsi="宋体" w:hint="eastAsia"/>
          <w:b/>
          <w:bCs/>
          <w:szCs w:val="21"/>
        </w:rPr>
        <w:t>1.1 依据文件</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（1）《苏医保函〔2024〕102号+关于开展</w:t>
      </w:r>
      <w:bookmarkStart w:id="0" w:name="_GoBack"/>
      <w:r>
        <w:rPr>
          <w:rFonts w:ascii="宋体" w:eastAsia="宋体" w:hAnsi="宋体" w:hint="eastAsia"/>
          <w:szCs w:val="21"/>
        </w:rPr>
        <w:t>医保药品追溯码信息</w:t>
      </w:r>
      <w:bookmarkEnd w:id="0"/>
      <w:r>
        <w:rPr>
          <w:rFonts w:ascii="宋体" w:eastAsia="宋体" w:hAnsi="宋体" w:hint="eastAsia"/>
          <w:szCs w:val="21"/>
        </w:rPr>
        <w:t>采集应用工作的通知》</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（2）《江苏“网采率”接口方案V2.4(溯源码)》</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（3）其他文件</w:t>
      </w:r>
    </w:p>
    <w:p w:rsidR="00A878AF" w:rsidRDefault="00A878AF" w:rsidP="00A878AF">
      <w:pPr>
        <w:spacing w:line="360" w:lineRule="auto"/>
        <w:rPr>
          <w:rFonts w:ascii="宋体" w:eastAsia="宋体" w:hAnsi="宋体"/>
          <w:b/>
          <w:bCs/>
          <w:szCs w:val="21"/>
        </w:rPr>
      </w:pPr>
      <w:r>
        <w:rPr>
          <w:rFonts w:ascii="宋体" w:eastAsia="宋体" w:hAnsi="宋体" w:hint="eastAsia"/>
          <w:b/>
          <w:bCs/>
          <w:szCs w:val="21"/>
        </w:rPr>
        <w:t>1.2 采集模式</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在入库环节和发药环节均上传药品追溯信息。定点医疗机构调用两定接口中进销存管理的商品盘存上传、商品库存变更接口、商品销售、商品销售退货等接口，实现在入库环节和发药环节实时采集药品追溯信息并上传至省药品追溯信息库。”</w:t>
      </w:r>
    </w:p>
    <w:p w:rsidR="00A878AF" w:rsidRDefault="00A878AF" w:rsidP="00A878AF">
      <w:pPr>
        <w:spacing w:line="360" w:lineRule="auto"/>
        <w:rPr>
          <w:rFonts w:ascii="宋体" w:eastAsia="宋体" w:hAnsi="宋体"/>
          <w:b/>
          <w:bCs/>
          <w:szCs w:val="21"/>
        </w:rPr>
      </w:pPr>
      <w:r>
        <w:rPr>
          <w:rFonts w:ascii="宋体" w:eastAsia="宋体" w:hAnsi="宋体" w:hint="eastAsia"/>
          <w:b/>
          <w:bCs/>
          <w:szCs w:val="21"/>
        </w:rPr>
        <w:t>1.3 方案需求</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入库环节：</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（1）无缝对接现有HIS系统的药品采购流程，实现扫码采购入库，支持PDA、扫码枪扫码对接；</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（2）与省招采平台无缝衔接，支持扫箱码批量获取溯源码，自动匹配溯源码与省平台编码；</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（3）建立院内追溯码信息库；</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发药环节：</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（1）无缝对接HIS系统的发药流程，发药窗口支持高拍仪批量扫码，并将扫码结果自动匹配处方信息；</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（2）核销院内追溯码库并同步至省平台，保证追溯码状态与省平台实时同步。</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配套硬件：追溯码扫描器，要求扫描速度快、识别准确、可同时扫描识别多个条码、外观简洁大方；数量预估5台，提供品牌型号、设备彩页（或样机）、单价等信息。</w:t>
      </w:r>
    </w:p>
    <w:p w:rsidR="00A878AF" w:rsidRDefault="00A878AF" w:rsidP="00A878AF">
      <w:pPr>
        <w:spacing w:line="360" w:lineRule="auto"/>
        <w:rPr>
          <w:rFonts w:ascii="宋体" w:eastAsia="宋体" w:hAnsi="宋体"/>
          <w:b/>
          <w:bCs/>
          <w:szCs w:val="21"/>
        </w:rPr>
      </w:pPr>
      <w:r>
        <w:rPr>
          <w:rFonts w:ascii="宋体" w:eastAsia="宋体" w:hAnsi="宋体" w:hint="eastAsia"/>
          <w:b/>
          <w:bCs/>
          <w:szCs w:val="21"/>
        </w:rPr>
        <w:t>1.4 建设原则</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（1）在上级相关部门规定的时间节点之前完成响应动作步骤；</w:t>
      </w:r>
    </w:p>
    <w:p w:rsidR="00A878AF" w:rsidRDefault="00A878AF" w:rsidP="00A878AF">
      <w:pPr>
        <w:spacing w:line="360" w:lineRule="auto"/>
        <w:ind w:firstLineChars="200" w:firstLine="420"/>
        <w:rPr>
          <w:rFonts w:ascii="宋体" w:eastAsia="宋体" w:hAnsi="宋体"/>
          <w:szCs w:val="21"/>
        </w:rPr>
      </w:pPr>
      <w:r>
        <w:rPr>
          <w:rFonts w:ascii="宋体" w:eastAsia="宋体" w:hAnsi="宋体" w:hint="eastAsia"/>
          <w:szCs w:val="21"/>
        </w:rPr>
        <w:t>（2）在按要求实现相关功能的前提下，尽可能优化操作步骤，降低临床工作量。</w:t>
      </w:r>
    </w:p>
    <w:p w:rsidR="00A878AF" w:rsidRDefault="00A878AF" w:rsidP="00A878AF">
      <w:pPr>
        <w:spacing w:line="360" w:lineRule="auto"/>
        <w:rPr>
          <w:rFonts w:ascii="宋体" w:eastAsia="宋体" w:hAnsi="宋体"/>
          <w:szCs w:val="21"/>
        </w:rPr>
      </w:pPr>
    </w:p>
    <w:p w:rsidR="00A878AF" w:rsidRDefault="00A878AF" w:rsidP="00A878AF">
      <w:pPr>
        <w:widowControl/>
        <w:jc w:val="left"/>
        <w:rPr>
          <w:rFonts w:ascii="宋体" w:eastAsia="宋体" w:hAnsi="宋体"/>
          <w:b/>
          <w:bCs/>
          <w:szCs w:val="21"/>
        </w:rPr>
      </w:pPr>
      <w:r>
        <w:rPr>
          <w:rFonts w:ascii="宋体" w:eastAsia="宋体" w:hAnsi="宋体" w:hint="eastAsia"/>
          <w:b/>
          <w:bCs/>
          <w:szCs w:val="21"/>
        </w:rPr>
        <w:br w:type="page"/>
      </w:r>
    </w:p>
    <w:p w:rsidR="00A878AF" w:rsidRDefault="00A878AF" w:rsidP="00A878AF">
      <w:pPr>
        <w:rPr>
          <w:rFonts w:ascii="宋体" w:eastAsia="宋体" w:hAnsi="宋体"/>
          <w:b/>
          <w:bCs/>
          <w:szCs w:val="21"/>
        </w:rPr>
      </w:pPr>
      <w:r>
        <w:rPr>
          <w:rFonts w:ascii="宋体" w:eastAsia="宋体" w:hAnsi="宋体" w:hint="eastAsia"/>
          <w:b/>
          <w:bCs/>
          <w:szCs w:val="21"/>
        </w:rPr>
        <w:lastRenderedPageBreak/>
        <w:t>二、评分标准</w:t>
      </w:r>
    </w:p>
    <w:tbl>
      <w:tblPr>
        <w:tblStyle w:val="a7"/>
        <w:tblW w:w="9215" w:type="dxa"/>
        <w:tblInd w:w="-431" w:type="dxa"/>
        <w:tblLook w:val="04A0" w:firstRow="1" w:lastRow="0" w:firstColumn="1" w:lastColumn="0" w:noHBand="0" w:noVBand="1"/>
      </w:tblPr>
      <w:tblGrid>
        <w:gridCol w:w="1135"/>
        <w:gridCol w:w="1843"/>
        <w:gridCol w:w="6237"/>
      </w:tblGrid>
      <w:tr w:rsidR="00A878AF" w:rsidTr="00581D47">
        <w:trPr>
          <w:trHeight w:val="520"/>
        </w:trPr>
        <w:tc>
          <w:tcPr>
            <w:tcW w:w="2978" w:type="dxa"/>
            <w:gridSpan w:val="2"/>
            <w:vAlign w:val="center"/>
          </w:tcPr>
          <w:p w:rsidR="00A878AF" w:rsidRDefault="00A878AF" w:rsidP="00581D47">
            <w:pPr>
              <w:spacing w:line="336" w:lineRule="auto"/>
              <w:jc w:val="center"/>
              <w:rPr>
                <w:rFonts w:ascii="宋体" w:eastAsia="宋体" w:hAnsi="宋体"/>
                <w:b/>
                <w:bCs/>
                <w:szCs w:val="21"/>
              </w:rPr>
            </w:pPr>
            <w:r>
              <w:rPr>
                <w:rFonts w:ascii="宋体" w:eastAsia="宋体" w:hAnsi="宋体" w:hint="eastAsia"/>
                <w:b/>
                <w:bCs/>
                <w:szCs w:val="21"/>
              </w:rPr>
              <w:t>评分因素和分值</w:t>
            </w:r>
          </w:p>
        </w:tc>
        <w:tc>
          <w:tcPr>
            <w:tcW w:w="6237" w:type="dxa"/>
            <w:vAlign w:val="center"/>
          </w:tcPr>
          <w:p w:rsidR="00A878AF" w:rsidRDefault="00A878AF" w:rsidP="00581D47">
            <w:pPr>
              <w:spacing w:line="336" w:lineRule="auto"/>
              <w:jc w:val="center"/>
              <w:rPr>
                <w:rFonts w:ascii="宋体" w:eastAsia="宋体" w:hAnsi="宋体"/>
                <w:b/>
                <w:bCs/>
                <w:szCs w:val="21"/>
              </w:rPr>
            </w:pPr>
            <w:r>
              <w:rPr>
                <w:rFonts w:ascii="宋体" w:eastAsia="宋体" w:hAnsi="宋体" w:hint="eastAsia"/>
                <w:b/>
                <w:bCs/>
                <w:szCs w:val="21"/>
              </w:rPr>
              <w:t>评分因素细则</w:t>
            </w:r>
          </w:p>
        </w:tc>
      </w:tr>
      <w:tr w:rsidR="00A878AF" w:rsidTr="00581D47">
        <w:trPr>
          <w:trHeight w:val="1282"/>
        </w:trPr>
        <w:tc>
          <w:tcPr>
            <w:tcW w:w="2978" w:type="dxa"/>
            <w:gridSpan w:val="2"/>
            <w:vAlign w:val="center"/>
          </w:tcPr>
          <w:p w:rsidR="00A878AF" w:rsidRDefault="00A878AF" w:rsidP="00581D47">
            <w:pPr>
              <w:spacing w:line="336" w:lineRule="auto"/>
              <w:jc w:val="center"/>
              <w:rPr>
                <w:rFonts w:ascii="宋体" w:eastAsia="宋体" w:hAnsi="宋体"/>
                <w:szCs w:val="21"/>
              </w:rPr>
            </w:pPr>
            <w:r>
              <w:rPr>
                <w:rFonts w:ascii="宋体" w:eastAsia="宋体" w:hAnsi="宋体" w:hint="eastAsia"/>
                <w:szCs w:val="21"/>
              </w:rPr>
              <w:t>价格部分</w:t>
            </w:r>
          </w:p>
          <w:p w:rsidR="00A878AF" w:rsidRDefault="00A878AF" w:rsidP="00581D47">
            <w:pPr>
              <w:spacing w:line="336" w:lineRule="auto"/>
              <w:jc w:val="center"/>
              <w:rPr>
                <w:rFonts w:ascii="宋体" w:eastAsia="宋体" w:hAnsi="宋体"/>
                <w:szCs w:val="21"/>
              </w:rPr>
            </w:pPr>
            <w:r>
              <w:rPr>
                <w:rFonts w:ascii="宋体" w:eastAsia="宋体" w:hAnsi="宋体" w:hint="eastAsia"/>
                <w:szCs w:val="21"/>
              </w:rPr>
              <w:t>（30分）</w:t>
            </w:r>
          </w:p>
        </w:tc>
        <w:tc>
          <w:tcPr>
            <w:tcW w:w="6237" w:type="dxa"/>
            <w:vAlign w:val="center"/>
          </w:tcPr>
          <w:p w:rsidR="00A878AF" w:rsidRDefault="00A878AF" w:rsidP="00581D47">
            <w:pPr>
              <w:spacing w:line="336" w:lineRule="auto"/>
              <w:rPr>
                <w:rFonts w:ascii="宋体" w:eastAsia="宋体" w:hAnsi="宋体"/>
                <w:szCs w:val="21"/>
              </w:rPr>
            </w:pPr>
            <w:r>
              <w:rPr>
                <w:rFonts w:ascii="宋体" w:eastAsia="宋体" w:hAnsi="宋体" w:cstheme="minorEastAsia" w:hint="eastAsia"/>
                <w:szCs w:val="21"/>
              </w:rPr>
              <w:t>采用低价优先法计算，即满足文件要求且报价最低的投标报价为评标基准价，其价格分为满分。其他供应商的价格分统一按照下列公式计算：投标报价得分=(评标基准价/投标报价)×30</w:t>
            </w:r>
          </w:p>
        </w:tc>
      </w:tr>
      <w:tr w:rsidR="00A878AF" w:rsidTr="00581D47">
        <w:trPr>
          <w:trHeight w:val="1367"/>
        </w:trPr>
        <w:tc>
          <w:tcPr>
            <w:tcW w:w="2978" w:type="dxa"/>
            <w:gridSpan w:val="2"/>
            <w:vAlign w:val="center"/>
          </w:tcPr>
          <w:p w:rsidR="00A878AF" w:rsidRDefault="00A878AF" w:rsidP="00581D47">
            <w:pPr>
              <w:spacing w:line="336" w:lineRule="auto"/>
              <w:jc w:val="center"/>
              <w:rPr>
                <w:rFonts w:ascii="宋体" w:eastAsia="宋体" w:hAnsi="宋体"/>
                <w:szCs w:val="21"/>
              </w:rPr>
            </w:pPr>
            <w:r>
              <w:rPr>
                <w:rFonts w:ascii="宋体" w:eastAsia="宋体" w:hAnsi="宋体" w:hint="eastAsia"/>
                <w:szCs w:val="21"/>
              </w:rPr>
              <w:t>技术要求</w:t>
            </w:r>
          </w:p>
          <w:p w:rsidR="00A878AF" w:rsidRDefault="00A878AF" w:rsidP="00581D47">
            <w:pPr>
              <w:spacing w:line="336" w:lineRule="auto"/>
              <w:jc w:val="center"/>
              <w:rPr>
                <w:rFonts w:ascii="宋体" w:eastAsia="宋体" w:hAnsi="宋体"/>
                <w:szCs w:val="21"/>
              </w:rPr>
            </w:pPr>
            <w:r>
              <w:rPr>
                <w:rFonts w:ascii="宋体" w:eastAsia="宋体" w:hAnsi="宋体" w:hint="eastAsia"/>
                <w:szCs w:val="21"/>
              </w:rPr>
              <w:t>（30分）</w:t>
            </w:r>
          </w:p>
        </w:tc>
        <w:tc>
          <w:tcPr>
            <w:tcW w:w="6237" w:type="dxa"/>
            <w:vAlign w:val="center"/>
          </w:tcPr>
          <w:p w:rsidR="00A878AF" w:rsidRDefault="00A878AF" w:rsidP="00581D47">
            <w:pPr>
              <w:adjustRightInd w:val="0"/>
              <w:snapToGrid w:val="0"/>
              <w:spacing w:line="336" w:lineRule="auto"/>
              <w:rPr>
                <w:rFonts w:ascii="宋体" w:eastAsia="宋体" w:hAnsi="宋体" w:cstheme="minorEastAsia"/>
                <w:szCs w:val="21"/>
              </w:rPr>
            </w:pPr>
            <w:r>
              <w:rPr>
                <w:rFonts w:ascii="宋体" w:eastAsia="宋体" w:hAnsi="宋体" w:cstheme="minorEastAsia" w:hint="eastAsia"/>
                <w:szCs w:val="21"/>
              </w:rPr>
              <w:t>对本次项目提出的需求清单需逐条响应，完全响应得30分；</w:t>
            </w:r>
          </w:p>
          <w:p w:rsidR="00A878AF" w:rsidRDefault="00A878AF" w:rsidP="00581D47">
            <w:pPr>
              <w:adjustRightInd w:val="0"/>
              <w:snapToGrid w:val="0"/>
              <w:spacing w:line="336" w:lineRule="auto"/>
              <w:rPr>
                <w:rFonts w:ascii="宋体" w:eastAsia="宋体" w:hAnsi="宋体" w:cstheme="minorEastAsia"/>
                <w:szCs w:val="21"/>
              </w:rPr>
            </w:pPr>
            <w:r>
              <w:rPr>
                <w:rFonts w:ascii="宋体" w:eastAsia="宋体" w:hAnsi="宋体" w:cstheme="minorEastAsia" w:hint="eastAsia"/>
                <w:szCs w:val="21"/>
              </w:rPr>
              <w:t>无法满足需求清单每条扣5分；</w:t>
            </w:r>
          </w:p>
          <w:p w:rsidR="00A878AF" w:rsidRDefault="00A878AF" w:rsidP="00581D47">
            <w:pPr>
              <w:spacing w:line="336" w:lineRule="auto"/>
              <w:rPr>
                <w:rFonts w:ascii="宋体" w:eastAsia="宋体" w:hAnsi="宋体" w:cstheme="minorEastAsia"/>
                <w:szCs w:val="21"/>
              </w:rPr>
            </w:pPr>
            <w:r>
              <w:rPr>
                <w:rFonts w:ascii="宋体" w:eastAsia="宋体" w:hAnsi="宋体" w:cstheme="minorEastAsia" w:hint="eastAsia"/>
                <w:szCs w:val="21"/>
              </w:rPr>
              <w:t>无法满足需求清单超过2条，不得分。</w:t>
            </w:r>
          </w:p>
        </w:tc>
      </w:tr>
      <w:tr w:rsidR="00A878AF" w:rsidTr="00581D47">
        <w:trPr>
          <w:trHeight w:val="1273"/>
        </w:trPr>
        <w:tc>
          <w:tcPr>
            <w:tcW w:w="1135" w:type="dxa"/>
            <w:vMerge w:val="restart"/>
            <w:vAlign w:val="center"/>
          </w:tcPr>
          <w:p w:rsidR="00A878AF" w:rsidRDefault="00A878AF" w:rsidP="00581D47">
            <w:pPr>
              <w:spacing w:line="336" w:lineRule="auto"/>
              <w:jc w:val="center"/>
              <w:rPr>
                <w:rFonts w:ascii="宋体" w:eastAsia="宋体" w:hAnsi="宋体"/>
                <w:szCs w:val="21"/>
              </w:rPr>
            </w:pPr>
            <w:r>
              <w:rPr>
                <w:rFonts w:ascii="宋体" w:eastAsia="宋体" w:hAnsi="宋体" w:hint="eastAsia"/>
                <w:szCs w:val="21"/>
              </w:rPr>
              <w:t>服务能力</w:t>
            </w:r>
          </w:p>
          <w:p w:rsidR="00A878AF" w:rsidRDefault="00A878AF" w:rsidP="00581D47">
            <w:pPr>
              <w:spacing w:line="336" w:lineRule="auto"/>
              <w:jc w:val="center"/>
              <w:rPr>
                <w:rFonts w:ascii="宋体" w:eastAsia="宋体" w:hAnsi="宋体"/>
                <w:szCs w:val="21"/>
              </w:rPr>
            </w:pPr>
            <w:r>
              <w:rPr>
                <w:rFonts w:ascii="宋体" w:eastAsia="宋体" w:hAnsi="宋体" w:hint="eastAsia"/>
                <w:szCs w:val="21"/>
              </w:rPr>
              <w:t>（20分）</w:t>
            </w:r>
          </w:p>
        </w:tc>
        <w:tc>
          <w:tcPr>
            <w:tcW w:w="1843" w:type="dxa"/>
            <w:vAlign w:val="center"/>
          </w:tcPr>
          <w:p w:rsidR="00A878AF" w:rsidRDefault="00A878AF" w:rsidP="00581D47">
            <w:pPr>
              <w:spacing w:line="336" w:lineRule="auto"/>
              <w:jc w:val="center"/>
              <w:rPr>
                <w:rFonts w:ascii="宋体" w:eastAsia="宋体" w:hAnsi="宋体"/>
                <w:szCs w:val="21"/>
              </w:rPr>
            </w:pPr>
            <w:r>
              <w:rPr>
                <w:rFonts w:ascii="宋体" w:eastAsia="宋体" w:hAnsi="宋体" w:hint="eastAsia"/>
                <w:szCs w:val="21"/>
              </w:rPr>
              <w:t>技术能力</w:t>
            </w:r>
          </w:p>
          <w:p w:rsidR="00A878AF" w:rsidRDefault="00A878AF" w:rsidP="00581D47">
            <w:pPr>
              <w:spacing w:line="336" w:lineRule="auto"/>
              <w:jc w:val="center"/>
              <w:rPr>
                <w:rFonts w:ascii="宋体" w:eastAsia="宋体" w:hAnsi="宋体"/>
                <w:szCs w:val="21"/>
              </w:rPr>
            </w:pPr>
            <w:r>
              <w:rPr>
                <w:rFonts w:ascii="宋体" w:eastAsia="宋体" w:hAnsi="宋体" w:hint="eastAsia"/>
                <w:szCs w:val="21"/>
              </w:rPr>
              <w:t>（10分）</w:t>
            </w:r>
          </w:p>
        </w:tc>
        <w:tc>
          <w:tcPr>
            <w:tcW w:w="6237" w:type="dxa"/>
            <w:vAlign w:val="center"/>
          </w:tcPr>
          <w:p w:rsidR="00A878AF" w:rsidRDefault="00A878AF" w:rsidP="00581D47">
            <w:pPr>
              <w:adjustRightInd w:val="0"/>
              <w:snapToGrid w:val="0"/>
              <w:spacing w:line="336" w:lineRule="auto"/>
              <w:rPr>
                <w:rFonts w:ascii="宋体" w:eastAsia="宋体" w:hAnsi="宋体" w:cstheme="minorEastAsia"/>
                <w:szCs w:val="21"/>
              </w:rPr>
            </w:pPr>
            <w:r>
              <w:rPr>
                <w:rFonts w:ascii="宋体" w:eastAsia="宋体" w:hAnsi="宋体" w:cstheme="minorEastAsia" w:hint="eastAsia"/>
                <w:szCs w:val="21"/>
              </w:rPr>
              <w:t>投标商根据项目需求，提供能按要求完成项目实施的承诺函和相关证明材料，提供承诺函并盖章，得5分；</w:t>
            </w:r>
          </w:p>
          <w:p w:rsidR="00A878AF" w:rsidRDefault="00A878AF" w:rsidP="00581D47">
            <w:pPr>
              <w:adjustRightInd w:val="0"/>
              <w:snapToGrid w:val="0"/>
              <w:spacing w:line="336" w:lineRule="auto"/>
              <w:rPr>
                <w:rFonts w:ascii="宋体" w:eastAsia="宋体" w:hAnsi="宋体" w:cstheme="minorEastAsia"/>
                <w:szCs w:val="21"/>
              </w:rPr>
            </w:pPr>
            <w:r>
              <w:rPr>
                <w:rFonts w:ascii="宋体" w:eastAsia="宋体" w:hAnsi="宋体" w:cstheme="minorEastAsia" w:hint="eastAsia"/>
                <w:szCs w:val="21"/>
              </w:rPr>
              <w:t>提供相关证明材料，并经专家评估可行的，得5分，否则不得分。</w:t>
            </w:r>
          </w:p>
        </w:tc>
      </w:tr>
      <w:tr w:rsidR="00A878AF" w:rsidTr="00581D47">
        <w:trPr>
          <w:trHeight w:val="3231"/>
        </w:trPr>
        <w:tc>
          <w:tcPr>
            <w:tcW w:w="1135" w:type="dxa"/>
            <w:vMerge/>
            <w:vAlign w:val="center"/>
          </w:tcPr>
          <w:p w:rsidR="00A878AF" w:rsidRDefault="00A878AF" w:rsidP="00581D47">
            <w:pPr>
              <w:spacing w:line="336" w:lineRule="auto"/>
              <w:jc w:val="center"/>
              <w:rPr>
                <w:rFonts w:ascii="宋体" w:eastAsia="宋体" w:hAnsi="宋体"/>
                <w:szCs w:val="21"/>
              </w:rPr>
            </w:pPr>
          </w:p>
        </w:tc>
        <w:tc>
          <w:tcPr>
            <w:tcW w:w="1843" w:type="dxa"/>
            <w:vAlign w:val="center"/>
          </w:tcPr>
          <w:p w:rsidR="00A878AF" w:rsidRDefault="00A878AF" w:rsidP="00581D47">
            <w:pPr>
              <w:spacing w:line="336" w:lineRule="auto"/>
              <w:jc w:val="center"/>
              <w:rPr>
                <w:rFonts w:ascii="宋体" w:eastAsia="宋体" w:hAnsi="宋体"/>
                <w:szCs w:val="21"/>
              </w:rPr>
            </w:pPr>
            <w:r>
              <w:rPr>
                <w:rFonts w:ascii="宋体" w:eastAsia="宋体" w:hAnsi="宋体" w:hint="eastAsia"/>
                <w:szCs w:val="21"/>
              </w:rPr>
              <w:t>实施方案</w:t>
            </w:r>
          </w:p>
          <w:p w:rsidR="00A878AF" w:rsidRDefault="00A878AF" w:rsidP="00581D47">
            <w:pPr>
              <w:spacing w:line="336" w:lineRule="auto"/>
              <w:jc w:val="center"/>
              <w:rPr>
                <w:rFonts w:ascii="宋体" w:eastAsia="宋体" w:hAnsi="宋体"/>
                <w:szCs w:val="21"/>
              </w:rPr>
            </w:pPr>
            <w:r>
              <w:rPr>
                <w:rFonts w:ascii="宋体" w:eastAsia="宋体" w:hAnsi="宋体" w:hint="eastAsia"/>
                <w:szCs w:val="21"/>
              </w:rPr>
              <w:t>（5分）</w:t>
            </w:r>
          </w:p>
        </w:tc>
        <w:tc>
          <w:tcPr>
            <w:tcW w:w="6237" w:type="dxa"/>
            <w:vAlign w:val="center"/>
          </w:tcPr>
          <w:p w:rsidR="00A878AF" w:rsidRDefault="00A878AF" w:rsidP="00581D47">
            <w:pPr>
              <w:adjustRightInd w:val="0"/>
              <w:snapToGrid w:val="0"/>
              <w:spacing w:line="336" w:lineRule="auto"/>
              <w:rPr>
                <w:rFonts w:ascii="宋体" w:eastAsia="宋体" w:hAnsi="宋体" w:cstheme="minorEastAsia"/>
                <w:bCs/>
                <w:szCs w:val="21"/>
              </w:rPr>
            </w:pPr>
            <w:r>
              <w:rPr>
                <w:rFonts w:ascii="宋体" w:eastAsia="宋体" w:hAnsi="宋体" w:cstheme="minorEastAsia" w:hint="eastAsia"/>
                <w:szCs w:val="21"/>
              </w:rPr>
              <w:t>投标商</w:t>
            </w:r>
            <w:r>
              <w:rPr>
                <w:rFonts w:ascii="宋体" w:eastAsia="宋体" w:hAnsi="宋体" w:cstheme="minorEastAsia" w:hint="eastAsia"/>
                <w:bCs/>
                <w:szCs w:val="21"/>
              </w:rPr>
              <w:t>应根据院方需求及本项目特点，提供项目实施方案，方案科学合理、完整、切实可行、有针对性。</w:t>
            </w:r>
          </w:p>
          <w:p w:rsidR="00A878AF" w:rsidRDefault="00A878AF" w:rsidP="00581D47">
            <w:pPr>
              <w:adjustRightInd w:val="0"/>
              <w:snapToGrid w:val="0"/>
              <w:spacing w:line="336" w:lineRule="auto"/>
              <w:rPr>
                <w:rFonts w:ascii="宋体" w:eastAsia="宋体" w:hAnsi="宋体" w:cstheme="minorEastAsia"/>
                <w:szCs w:val="21"/>
              </w:rPr>
            </w:pPr>
            <w:r>
              <w:rPr>
                <w:rFonts w:ascii="宋体" w:eastAsia="宋体" w:hAnsi="宋体" w:cstheme="minorEastAsia" w:hint="eastAsia"/>
                <w:szCs w:val="21"/>
              </w:rPr>
              <w:t>1、方案合理、完整、切实可行,对于项目实施有针对性,且优于项目实施需求，得5分；</w:t>
            </w:r>
          </w:p>
          <w:p w:rsidR="00A878AF" w:rsidRDefault="00A878AF" w:rsidP="00581D47">
            <w:pPr>
              <w:adjustRightInd w:val="0"/>
              <w:snapToGrid w:val="0"/>
              <w:spacing w:line="336" w:lineRule="auto"/>
              <w:rPr>
                <w:rFonts w:ascii="宋体" w:eastAsia="宋体" w:hAnsi="宋体" w:cstheme="minorEastAsia"/>
                <w:szCs w:val="21"/>
              </w:rPr>
            </w:pPr>
            <w:r>
              <w:rPr>
                <w:rFonts w:ascii="宋体" w:eastAsia="宋体" w:hAnsi="宋体" w:cstheme="minorEastAsia" w:hint="eastAsia"/>
                <w:szCs w:val="21"/>
              </w:rPr>
              <w:t>2、方案比较合理、比较完整,对于项目实施比较有针对性,能较好的满足院方项目实施需求，得3分；</w:t>
            </w:r>
          </w:p>
          <w:p w:rsidR="00A878AF" w:rsidRDefault="00A878AF" w:rsidP="00581D47">
            <w:pPr>
              <w:spacing w:line="336" w:lineRule="auto"/>
              <w:rPr>
                <w:rFonts w:ascii="宋体" w:eastAsia="宋体" w:hAnsi="宋体"/>
                <w:szCs w:val="21"/>
              </w:rPr>
            </w:pPr>
            <w:r>
              <w:rPr>
                <w:rFonts w:ascii="宋体" w:eastAsia="宋体" w:hAnsi="宋体" w:cstheme="minorEastAsia" w:hint="eastAsia"/>
                <w:szCs w:val="21"/>
              </w:rPr>
              <w:t>3、方案不够完整或未提供，对于项目实施缺少针对性,无法满足项目实施需求的不得分。</w:t>
            </w:r>
          </w:p>
        </w:tc>
      </w:tr>
      <w:tr w:rsidR="00A878AF" w:rsidTr="00581D47">
        <w:trPr>
          <w:trHeight w:val="4415"/>
        </w:trPr>
        <w:tc>
          <w:tcPr>
            <w:tcW w:w="1135" w:type="dxa"/>
            <w:vMerge/>
            <w:vAlign w:val="center"/>
          </w:tcPr>
          <w:p w:rsidR="00A878AF" w:rsidRDefault="00A878AF" w:rsidP="00581D47">
            <w:pPr>
              <w:spacing w:line="336" w:lineRule="auto"/>
              <w:jc w:val="center"/>
              <w:rPr>
                <w:rFonts w:ascii="宋体" w:eastAsia="宋体" w:hAnsi="宋体"/>
                <w:szCs w:val="21"/>
              </w:rPr>
            </w:pPr>
          </w:p>
        </w:tc>
        <w:tc>
          <w:tcPr>
            <w:tcW w:w="1843" w:type="dxa"/>
            <w:vAlign w:val="center"/>
          </w:tcPr>
          <w:p w:rsidR="00A878AF" w:rsidRDefault="00A878AF" w:rsidP="00581D47">
            <w:pPr>
              <w:widowControl/>
              <w:spacing w:line="336" w:lineRule="auto"/>
              <w:jc w:val="center"/>
              <w:rPr>
                <w:rFonts w:ascii="宋体" w:eastAsia="宋体" w:hAnsi="宋体" w:cstheme="minorEastAsia"/>
                <w:snapToGrid w:val="0"/>
                <w:szCs w:val="21"/>
              </w:rPr>
            </w:pPr>
            <w:r>
              <w:rPr>
                <w:rFonts w:ascii="宋体" w:eastAsia="宋体" w:hAnsi="宋体" w:cstheme="minorEastAsia" w:hint="eastAsia"/>
                <w:snapToGrid w:val="0"/>
                <w:szCs w:val="21"/>
              </w:rPr>
              <w:t>售后及培训方案</w:t>
            </w:r>
          </w:p>
          <w:p w:rsidR="00A878AF" w:rsidRDefault="00A878AF" w:rsidP="00581D47">
            <w:pPr>
              <w:spacing w:line="336" w:lineRule="auto"/>
              <w:jc w:val="center"/>
              <w:rPr>
                <w:rFonts w:ascii="宋体" w:eastAsia="宋体" w:hAnsi="宋体"/>
                <w:szCs w:val="21"/>
              </w:rPr>
            </w:pPr>
            <w:r>
              <w:rPr>
                <w:rFonts w:ascii="宋体" w:eastAsia="宋体" w:hAnsi="宋体" w:cstheme="minorEastAsia" w:hint="eastAsia"/>
                <w:snapToGrid w:val="0"/>
                <w:szCs w:val="21"/>
              </w:rPr>
              <w:t>（5分）</w:t>
            </w:r>
          </w:p>
        </w:tc>
        <w:tc>
          <w:tcPr>
            <w:tcW w:w="6237" w:type="dxa"/>
            <w:vAlign w:val="center"/>
          </w:tcPr>
          <w:p w:rsidR="00A878AF" w:rsidRDefault="00A878AF" w:rsidP="00581D47">
            <w:pPr>
              <w:widowControl/>
              <w:spacing w:line="336" w:lineRule="auto"/>
              <w:rPr>
                <w:rFonts w:ascii="宋体" w:eastAsia="宋体" w:hAnsi="宋体" w:cstheme="minorEastAsia"/>
                <w:szCs w:val="21"/>
              </w:rPr>
            </w:pPr>
            <w:r>
              <w:rPr>
                <w:rFonts w:ascii="宋体" w:eastAsia="宋体" w:hAnsi="宋体" w:cstheme="minorEastAsia" w:hint="eastAsia"/>
                <w:szCs w:val="21"/>
              </w:rPr>
              <w:t>投标商</w:t>
            </w:r>
            <w:r>
              <w:rPr>
                <w:rFonts w:ascii="宋体" w:eastAsia="宋体" w:hAnsi="宋体" w:cstheme="minorEastAsia" w:hint="eastAsia"/>
                <w:bCs/>
                <w:szCs w:val="21"/>
              </w:rPr>
              <w:t>应根据院方需求及本项目特点，提供</w:t>
            </w:r>
            <w:r>
              <w:rPr>
                <w:rFonts w:ascii="宋体" w:eastAsia="宋体" w:hAnsi="宋体" w:cstheme="minorEastAsia" w:hint="eastAsia"/>
                <w:szCs w:val="21"/>
              </w:rPr>
              <w:t>售后服务及培训方案，方案应全面合理，售后服务及培训流程及内容具体，响应时间迅速，服务及培训人员齐备。</w:t>
            </w:r>
          </w:p>
          <w:p w:rsidR="00A878AF" w:rsidRDefault="00A878AF" w:rsidP="00581D47">
            <w:pPr>
              <w:widowControl/>
              <w:spacing w:line="336" w:lineRule="auto"/>
              <w:rPr>
                <w:rFonts w:ascii="宋体" w:eastAsia="宋体" w:hAnsi="宋体" w:cstheme="minorEastAsia"/>
                <w:szCs w:val="21"/>
              </w:rPr>
            </w:pPr>
            <w:r>
              <w:rPr>
                <w:rFonts w:ascii="宋体" w:eastAsia="宋体" w:hAnsi="宋体" w:cstheme="minorEastAsia" w:hint="eastAsia"/>
                <w:szCs w:val="21"/>
              </w:rPr>
              <w:t>1、方案全面合理，服务及培训流程及内容具体，响应时间较为迅速，服务及培训人员匹配满足需求，且优于项目售后及培训需求，得5分；</w:t>
            </w:r>
          </w:p>
          <w:p w:rsidR="00A878AF" w:rsidRDefault="00A878AF" w:rsidP="00581D47">
            <w:pPr>
              <w:widowControl/>
              <w:spacing w:line="336" w:lineRule="auto"/>
              <w:rPr>
                <w:rFonts w:ascii="宋体" w:eastAsia="宋体" w:hAnsi="宋体" w:cstheme="minorEastAsia"/>
                <w:szCs w:val="21"/>
              </w:rPr>
            </w:pPr>
            <w:r>
              <w:rPr>
                <w:rFonts w:ascii="宋体" w:eastAsia="宋体" w:hAnsi="宋体" w:cstheme="minorEastAsia" w:hint="eastAsia"/>
                <w:szCs w:val="21"/>
              </w:rPr>
              <w:t>2、方案全面合理，服务及培训流程及内容具体，响应时间较为迅速，服务及培训人员匹配满足需求，得3分；</w:t>
            </w:r>
          </w:p>
          <w:p w:rsidR="00A878AF" w:rsidRDefault="00A878AF" w:rsidP="00581D47">
            <w:pPr>
              <w:spacing w:line="336" w:lineRule="auto"/>
              <w:rPr>
                <w:rFonts w:ascii="宋体" w:eastAsia="宋体" w:hAnsi="宋体"/>
                <w:szCs w:val="21"/>
              </w:rPr>
            </w:pPr>
            <w:r>
              <w:rPr>
                <w:rFonts w:ascii="宋体" w:eastAsia="宋体" w:hAnsi="宋体" w:cstheme="minorEastAsia" w:hint="eastAsia"/>
                <w:szCs w:val="21"/>
              </w:rPr>
              <w:t>3、方案不完整或未提供，对于项目实施缺少针对性,无法满足项目实施需求的不得分。</w:t>
            </w:r>
          </w:p>
        </w:tc>
      </w:tr>
      <w:tr w:rsidR="00A878AF" w:rsidTr="00581D47">
        <w:trPr>
          <w:trHeight w:val="416"/>
        </w:trPr>
        <w:tc>
          <w:tcPr>
            <w:tcW w:w="2978" w:type="dxa"/>
            <w:gridSpan w:val="2"/>
            <w:vAlign w:val="center"/>
          </w:tcPr>
          <w:p w:rsidR="00A878AF" w:rsidRDefault="00A878AF" w:rsidP="00581D47">
            <w:pPr>
              <w:widowControl/>
              <w:spacing w:line="336" w:lineRule="auto"/>
              <w:jc w:val="center"/>
              <w:rPr>
                <w:rFonts w:ascii="宋体" w:eastAsia="宋体" w:hAnsi="宋体" w:cstheme="minorEastAsia"/>
                <w:snapToGrid w:val="0"/>
                <w:szCs w:val="21"/>
              </w:rPr>
            </w:pPr>
            <w:r>
              <w:rPr>
                <w:rFonts w:ascii="宋体" w:eastAsia="宋体" w:hAnsi="宋体" w:cstheme="minorEastAsia" w:hint="eastAsia"/>
                <w:snapToGrid w:val="0"/>
                <w:szCs w:val="21"/>
              </w:rPr>
              <w:t>专家评分</w:t>
            </w:r>
          </w:p>
          <w:p w:rsidR="00A878AF" w:rsidRDefault="00A878AF" w:rsidP="00581D47">
            <w:pPr>
              <w:spacing w:line="336" w:lineRule="auto"/>
              <w:jc w:val="center"/>
              <w:rPr>
                <w:rFonts w:ascii="宋体" w:eastAsia="宋体" w:hAnsi="宋体"/>
                <w:szCs w:val="21"/>
              </w:rPr>
            </w:pPr>
            <w:r>
              <w:rPr>
                <w:rFonts w:ascii="宋体" w:eastAsia="宋体" w:hAnsi="宋体" w:cstheme="minorEastAsia" w:hint="eastAsia"/>
                <w:snapToGrid w:val="0"/>
                <w:szCs w:val="21"/>
              </w:rPr>
              <w:t>（20分）</w:t>
            </w:r>
          </w:p>
        </w:tc>
        <w:tc>
          <w:tcPr>
            <w:tcW w:w="6237" w:type="dxa"/>
            <w:vAlign w:val="center"/>
          </w:tcPr>
          <w:p w:rsidR="00A878AF" w:rsidRDefault="00A878AF" w:rsidP="00581D47">
            <w:pPr>
              <w:spacing w:line="336" w:lineRule="auto"/>
              <w:rPr>
                <w:rFonts w:ascii="宋体" w:eastAsia="宋体" w:hAnsi="宋体"/>
                <w:szCs w:val="21"/>
              </w:rPr>
            </w:pPr>
            <w:r>
              <w:rPr>
                <w:rFonts w:ascii="宋体" w:eastAsia="宋体" w:hAnsi="宋体" w:cstheme="minorEastAsia" w:hint="eastAsia"/>
                <w:szCs w:val="21"/>
              </w:rPr>
              <w:t>根据综合性价给予评分,优20分、良16分、中12分、差8分。</w:t>
            </w:r>
          </w:p>
        </w:tc>
      </w:tr>
    </w:tbl>
    <w:p w:rsidR="00F40D20" w:rsidRPr="00A878AF" w:rsidRDefault="00F40D20"/>
    <w:sectPr w:rsidR="00F40D20" w:rsidRPr="00A878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BDF" w:rsidRDefault="00C97BDF" w:rsidP="00A878AF">
      <w:r>
        <w:separator/>
      </w:r>
    </w:p>
  </w:endnote>
  <w:endnote w:type="continuationSeparator" w:id="0">
    <w:p w:rsidR="00C97BDF" w:rsidRDefault="00C97BDF" w:rsidP="00A8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default"/>
    <w:sig w:usb0="E10002FF" w:usb1="4000ACFF" w:usb2="00000009" w:usb3="00000000" w:csb0="2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BDF" w:rsidRDefault="00C97BDF" w:rsidP="00A878AF">
      <w:r>
        <w:separator/>
      </w:r>
    </w:p>
  </w:footnote>
  <w:footnote w:type="continuationSeparator" w:id="0">
    <w:p w:rsidR="00C97BDF" w:rsidRDefault="00C97BDF" w:rsidP="00A87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3C"/>
    <w:rsid w:val="00202A3C"/>
    <w:rsid w:val="00A878AF"/>
    <w:rsid w:val="00C97BDF"/>
    <w:rsid w:val="00F40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75CA4"/>
  <w15:chartTrackingRefBased/>
  <w15:docId w15:val="{40E25FD8-AD7B-45B1-8819-8EDF0B05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8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78AF"/>
    <w:rPr>
      <w:sz w:val="18"/>
      <w:szCs w:val="18"/>
    </w:rPr>
  </w:style>
  <w:style w:type="paragraph" w:styleId="a5">
    <w:name w:val="footer"/>
    <w:basedOn w:val="a"/>
    <w:link w:val="a6"/>
    <w:uiPriority w:val="99"/>
    <w:unhideWhenUsed/>
    <w:rsid w:val="00A878AF"/>
    <w:pPr>
      <w:tabs>
        <w:tab w:val="center" w:pos="4153"/>
        <w:tab w:val="right" w:pos="8306"/>
      </w:tabs>
      <w:snapToGrid w:val="0"/>
      <w:jc w:val="left"/>
    </w:pPr>
    <w:rPr>
      <w:sz w:val="18"/>
      <w:szCs w:val="18"/>
    </w:rPr>
  </w:style>
  <w:style w:type="character" w:customStyle="1" w:styleId="a6">
    <w:name w:val="页脚 字符"/>
    <w:basedOn w:val="a0"/>
    <w:link w:val="a5"/>
    <w:uiPriority w:val="99"/>
    <w:rsid w:val="00A878AF"/>
    <w:rPr>
      <w:sz w:val="18"/>
      <w:szCs w:val="18"/>
    </w:rPr>
  </w:style>
  <w:style w:type="table" w:styleId="a7">
    <w:name w:val="Table Grid"/>
    <w:basedOn w:val="a1"/>
    <w:qFormat/>
    <w:rsid w:val="00A878AF"/>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1139</Characters>
  <Application>Microsoft Office Word</Application>
  <DocSecurity>0</DocSecurity>
  <Lines>9</Lines>
  <Paragraphs>2</Paragraphs>
  <ScaleCrop>false</ScaleCrop>
  <Company>Microsoft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2024-09-28T06:03:00Z</dcterms:created>
  <dcterms:modified xsi:type="dcterms:W3CDTF">2024-09-28T06:03:00Z</dcterms:modified>
</cp:coreProperties>
</file>