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07" w:rsidRDefault="002B47B4" w:rsidP="002B47B4">
      <w:pPr>
        <w:ind w:firstLineChars="550" w:firstLine="1988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全自动胶囊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充填机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技术参数</w:t>
      </w:r>
    </w:p>
    <w:p w:rsidR="0066290E" w:rsidRDefault="0066290E" w:rsidP="0066290E">
      <w:pPr>
        <w:ind w:firstLineChars="550" w:firstLine="1155"/>
      </w:pPr>
    </w:p>
    <w:p w:rsidR="002B47B4" w:rsidRPr="00BD7CFA" w:rsidRDefault="00D06B5C" w:rsidP="00BD7CFA">
      <w:pPr>
        <w:rPr>
          <w:sz w:val="24"/>
        </w:rPr>
      </w:pPr>
      <w:r w:rsidRPr="00BD7CFA">
        <w:rPr>
          <w:rFonts w:hint="eastAsia"/>
          <w:sz w:val="24"/>
        </w:rPr>
        <w:t>1.</w:t>
      </w:r>
      <w:r w:rsidR="00E861AE" w:rsidRPr="00BD7CFA">
        <w:rPr>
          <w:rFonts w:hint="eastAsia"/>
          <w:sz w:val="24"/>
        </w:rPr>
        <w:t>严格执行</w:t>
      </w:r>
      <w:r w:rsidR="00E861AE" w:rsidRPr="00BD7CFA">
        <w:rPr>
          <w:rFonts w:hint="eastAsia"/>
          <w:sz w:val="24"/>
        </w:rPr>
        <w:t>IS09001:2015</w:t>
      </w:r>
      <w:r w:rsidR="00E861AE" w:rsidRPr="00BD7CFA">
        <w:rPr>
          <w:rFonts w:hint="eastAsia"/>
          <w:sz w:val="24"/>
        </w:rPr>
        <w:t>国际质量认证体系，符合</w:t>
      </w:r>
      <w:r w:rsidR="00E861AE" w:rsidRPr="00BD7CFA">
        <w:rPr>
          <w:rFonts w:hint="eastAsia"/>
          <w:sz w:val="24"/>
        </w:rPr>
        <w:t>GMP</w:t>
      </w:r>
      <w:r w:rsidR="00E861AE" w:rsidRPr="00BD7CFA">
        <w:rPr>
          <w:rFonts w:hint="eastAsia"/>
          <w:sz w:val="24"/>
        </w:rPr>
        <w:t>认证要求。</w:t>
      </w:r>
    </w:p>
    <w:p w:rsidR="00AD2338" w:rsidRPr="00BD7CFA" w:rsidRDefault="00D06B5C" w:rsidP="00BD7CFA">
      <w:pPr>
        <w:rPr>
          <w:sz w:val="24"/>
        </w:rPr>
      </w:pPr>
      <w:r w:rsidRPr="00BD7CFA">
        <w:rPr>
          <w:rFonts w:hint="eastAsia"/>
          <w:sz w:val="24"/>
        </w:rPr>
        <w:t>2.</w:t>
      </w:r>
      <w:r w:rsidRPr="00BD7CFA">
        <w:rPr>
          <w:rFonts w:hint="eastAsia"/>
          <w:sz w:val="24"/>
        </w:rPr>
        <w:t>采用</w:t>
      </w:r>
      <w:proofErr w:type="gramStart"/>
      <w:r w:rsidRPr="00BD7CFA">
        <w:rPr>
          <w:rFonts w:hint="eastAsia"/>
          <w:sz w:val="24"/>
        </w:rPr>
        <w:t>碟阀式</w:t>
      </w:r>
      <w:proofErr w:type="gramEnd"/>
      <w:r w:rsidRPr="00BD7CFA">
        <w:rPr>
          <w:rFonts w:hint="eastAsia"/>
          <w:sz w:val="24"/>
        </w:rPr>
        <w:t>下料方式</w:t>
      </w:r>
      <w:r w:rsidR="00AD2338" w:rsidRPr="00BD7CFA">
        <w:rPr>
          <w:rFonts w:hint="eastAsia"/>
          <w:sz w:val="24"/>
        </w:rPr>
        <w:t>，针对中草药、中成药等流动性较差的药粉，</w:t>
      </w:r>
      <w:r w:rsidRPr="00BD7CFA">
        <w:rPr>
          <w:rFonts w:hint="eastAsia"/>
          <w:sz w:val="24"/>
        </w:rPr>
        <w:t>配备震动装置，</w:t>
      </w:r>
      <w:r w:rsidR="00AD2338" w:rsidRPr="00BD7CFA">
        <w:rPr>
          <w:rFonts w:hint="eastAsia"/>
          <w:sz w:val="24"/>
        </w:rPr>
        <w:t>拆装方便，便于更换和清洗。</w:t>
      </w:r>
    </w:p>
    <w:p w:rsidR="00AD2338" w:rsidRPr="00BD7CFA" w:rsidRDefault="00D06B5C" w:rsidP="00BD7CFA">
      <w:pPr>
        <w:rPr>
          <w:sz w:val="24"/>
        </w:rPr>
      </w:pPr>
      <w:r w:rsidRPr="00BD7CFA">
        <w:rPr>
          <w:rFonts w:hint="eastAsia"/>
          <w:sz w:val="24"/>
        </w:rPr>
        <w:t>3.</w:t>
      </w:r>
      <w:r w:rsidR="00AD2338" w:rsidRPr="00BD7CFA">
        <w:rPr>
          <w:rFonts w:hint="eastAsia"/>
          <w:sz w:val="24"/>
        </w:rPr>
        <w:t>播囊机架采用导轨传动，封闭式设计，</w:t>
      </w:r>
      <w:proofErr w:type="gramStart"/>
      <w:r w:rsidRPr="00BD7CFA">
        <w:rPr>
          <w:rFonts w:hint="eastAsia"/>
          <w:sz w:val="24"/>
        </w:rPr>
        <w:t>需</w:t>
      </w:r>
      <w:r w:rsidR="00AD2338" w:rsidRPr="00BD7CFA">
        <w:rPr>
          <w:rFonts w:hint="eastAsia"/>
          <w:sz w:val="24"/>
        </w:rPr>
        <w:t>有效</w:t>
      </w:r>
      <w:proofErr w:type="gramEnd"/>
      <w:r w:rsidR="00AD2338" w:rsidRPr="00BD7CFA">
        <w:rPr>
          <w:rFonts w:hint="eastAsia"/>
          <w:sz w:val="24"/>
        </w:rPr>
        <w:t>杜绝废胶囊及粉尘进入。稳定性好，播囊有序，调向准确。</w:t>
      </w:r>
    </w:p>
    <w:p w:rsidR="00AD2338" w:rsidRPr="00BD7CFA" w:rsidRDefault="00D06B5C" w:rsidP="00BD7CFA">
      <w:pPr>
        <w:rPr>
          <w:sz w:val="24"/>
        </w:rPr>
      </w:pPr>
      <w:r w:rsidRPr="00BD7CFA">
        <w:rPr>
          <w:rFonts w:hint="eastAsia"/>
          <w:sz w:val="24"/>
        </w:rPr>
        <w:t>4.</w:t>
      </w:r>
      <w:r w:rsidR="00AD2338" w:rsidRPr="00BD7CFA">
        <w:rPr>
          <w:rFonts w:hint="eastAsia"/>
          <w:sz w:val="24"/>
        </w:rPr>
        <w:t>新型转盘采用</w:t>
      </w:r>
      <w:proofErr w:type="gramStart"/>
      <w:r w:rsidR="00AD2338" w:rsidRPr="00BD7CFA">
        <w:rPr>
          <w:rFonts w:hint="eastAsia"/>
          <w:sz w:val="24"/>
        </w:rPr>
        <w:t>一</w:t>
      </w:r>
      <w:proofErr w:type="gramEnd"/>
      <w:r w:rsidR="00AD2338" w:rsidRPr="00BD7CFA">
        <w:rPr>
          <w:rFonts w:hint="eastAsia"/>
          <w:sz w:val="24"/>
        </w:rPr>
        <w:t>体式加工成型，结构紧凑并且无拼接缝隙，具有较好的密封性和易拆卸性；上下模块单独运动，且固定支架轴密封采用双唇骨架防尘圈，达到无噪音、体积小、负载小、高精度。全封闭式回转盘内部三年免维修、免加油、免保养和无进粉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5.</w:t>
      </w:r>
      <w:r w:rsidR="00AD2338" w:rsidRPr="00BD7CFA">
        <w:rPr>
          <w:rFonts w:hint="eastAsia"/>
          <w:sz w:val="24"/>
        </w:rPr>
        <w:t>集成式药粉吸入器</w:t>
      </w:r>
      <w:r w:rsidRPr="00BD7CFA">
        <w:rPr>
          <w:rFonts w:hint="eastAsia"/>
          <w:sz w:val="24"/>
        </w:rPr>
        <w:t>在</w:t>
      </w:r>
      <w:r w:rsidR="00AD2338" w:rsidRPr="00BD7CFA">
        <w:rPr>
          <w:rFonts w:hint="eastAsia"/>
          <w:sz w:val="24"/>
        </w:rPr>
        <w:t>异常胶囊无法正常分离时，</w:t>
      </w:r>
      <w:proofErr w:type="gramStart"/>
      <w:r w:rsidR="00AD2338" w:rsidRPr="00BD7CFA">
        <w:rPr>
          <w:rFonts w:hint="eastAsia"/>
          <w:sz w:val="24"/>
        </w:rPr>
        <w:t>进入下模孔内</w:t>
      </w:r>
      <w:proofErr w:type="gramEnd"/>
      <w:r w:rsidR="00AD2338" w:rsidRPr="00BD7CFA">
        <w:rPr>
          <w:rFonts w:hint="eastAsia"/>
          <w:sz w:val="24"/>
        </w:rPr>
        <w:t>的药粉直接在充填工位被药粉回收装置吸入药粉回收器，能够</w:t>
      </w:r>
      <w:r w:rsidRPr="00BD7CFA">
        <w:rPr>
          <w:rFonts w:hint="eastAsia"/>
          <w:sz w:val="24"/>
        </w:rPr>
        <w:t>实现</w:t>
      </w:r>
      <w:r w:rsidR="00AD2338" w:rsidRPr="00BD7CFA">
        <w:rPr>
          <w:rFonts w:hint="eastAsia"/>
          <w:sz w:val="24"/>
        </w:rPr>
        <w:t>有效地回收药粉，避免流失和浪费。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6.</w:t>
      </w:r>
      <w:r w:rsidR="00AD2338" w:rsidRPr="00BD7CFA">
        <w:rPr>
          <w:rFonts w:hint="eastAsia"/>
          <w:sz w:val="24"/>
        </w:rPr>
        <w:t>充填组合采用模块化设计，使用充填夹持器的销钉式定位，生产中无需停机调节装量，方便更换不同充填杆。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7.</w:t>
      </w:r>
      <w:r w:rsidR="00AD2338" w:rsidRPr="00BD7CFA">
        <w:rPr>
          <w:rFonts w:hint="eastAsia"/>
          <w:sz w:val="24"/>
        </w:rPr>
        <w:t>充填底座能够在设备</w:t>
      </w:r>
      <w:r w:rsidRPr="00BD7CFA">
        <w:rPr>
          <w:rFonts w:hint="eastAsia"/>
          <w:sz w:val="24"/>
        </w:rPr>
        <w:t>运行时通过负压吸进底座孔中的药粉，并将其回收到药粉收集器中。</w:t>
      </w:r>
      <w:r w:rsidR="00AD2338" w:rsidRPr="00BD7CFA">
        <w:rPr>
          <w:rFonts w:hint="eastAsia"/>
          <w:sz w:val="24"/>
        </w:rPr>
        <w:t>避免药粉的浪费和流失，实现药粉的二次使用。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8.</w:t>
      </w:r>
      <w:r w:rsidR="00AD2338" w:rsidRPr="00BD7CFA">
        <w:rPr>
          <w:rFonts w:hint="eastAsia"/>
          <w:sz w:val="24"/>
        </w:rPr>
        <w:t>卡槽式</w:t>
      </w:r>
      <w:proofErr w:type="gramStart"/>
      <w:r w:rsidR="00AD2338" w:rsidRPr="00BD7CFA">
        <w:rPr>
          <w:rFonts w:hint="eastAsia"/>
          <w:sz w:val="24"/>
        </w:rPr>
        <w:t>锁囊板</w:t>
      </w:r>
      <w:r w:rsidRPr="00BD7CFA">
        <w:rPr>
          <w:rFonts w:hint="eastAsia"/>
          <w:sz w:val="24"/>
        </w:rPr>
        <w:t>能</w:t>
      </w:r>
      <w:proofErr w:type="gramEnd"/>
      <w:r w:rsidR="00AD2338" w:rsidRPr="00BD7CFA">
        <w:rPr>
          <w:rFonts w:hint="eastAsia"/>
          <w:sz w:val="24"/>
        </w:rPr>
        <w:t>随时进行微调，无需调整工位拉杆。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9.</w:t>
      </w:r>
      <w:r w:rsidR="00AD2338" w:rsidRPr="00BD7CFA">
        <w:rPr>
          <w:rFonts w:hint="eastAsia"/>
          <w:sz w:val="24"/>
        </w:rPr>
        <w:t>清洁模具孔装置采用净化压缩空气和间歇式气体冲击技术。</w:t>
      </w:r>
      <w:r w:rsidRPr="00BD7CFA">
        <w:rPr>
          <w:rFonts w:hint="eastAsia"/>
          <w:sz w:val="24"/>
        </w:rPr>
        <w:t>能解决</w:t>
      </w:r>
      <w:proofErr w:type="gramStart"/>
      <w:r w:rsidR="00AD2338" w:rsidRPr="00BD7CFA">
        <w:rPr>
          <w:rFonts w:hint="eastAsia"/>
          <w:sz w:val="24"/>
        </w:rPr>
        <w:t>药粉粘模问题</w:t>
      </w:r>
      <w:proofErr w:type="gramEnd"/>
      <w:r w:rsidR="00AD2338" w:rsidRPr="00BD7CFA">
        <w:rPr>
          <w:rFonts w:hint="eastAsia"/>
          <w:sz w:val="24"/>
        </w:rPr>
        <w:t>，提高胶囊上机率。</w:t>
      </w:r>
    </w:p>
    <w:p w:rsidR="00AD2338" w:rsidRPr="00BD7CFA" w:rsidRDefault="00D06B5C" w:rsidP="007D2BBC">
      <w:pPr>
        <w:rPr>
          <w:sz w:val="24"/>
        </w:rPr>
      </w:pPr>
      <w:r w:rsidRPr="00BD7CFA">
        <w:rPr>
          <w:rFonts w:hint="eastAsia"/>
          <w:sz w:val="24"/>
        </w:rPr>
        <w:t>10.</w:t>
      </w:r>
      <w:r w:rsidR="00AD2338" w:rsidRPr="00BD7CFA">
        <w:rPr>
          <w:rFonts w:hint="eastAsia"/>
          <w:sz w:val="24"/>
        </w:rPr>
        <w:t>采用凸轮下置传动系统，传动支架上下贯穿设计，运行凸轮全部使用内槽凸轮，高速运行达到精、准、</w:t>
      </w:r>
      <w:proofErr w:type="gramStart"/>
      <w:r w:rsidR="00AD2338" w:rsidRPr="00BD7CFA">
        <w:rPr>
          <w:rFonts w:hint="eastAsia"/>
          <w:sz w:val="24"/>
        </w:rPr>
        <w:t>稳无噪音</w:t>
      </w:r>
      <w:proofErr w:type="gramEnd"/>
      <w:r w:rsidR="00AD2338" w:rsidRPr="00BD7CFA">
        <w:rPr>
          <w:rFonts w:hint="eastAsia"/>
          <w:sz w:val="24"/>
        </w:rPr>
        <w:t>。</w:t>
      </w:r>
    </w:p>
    <w:p w:rsidR="00AD2338" w:rsidRPr="00BD7CFA" w:rsidRDefault="00D06B5C" w:rsidP="00D06B5C">
      <w:pPr>
        <w:rPr>
          <w:sz w:val="24"/>
        </w:rPr>
      </w:pPr>
      <w:r w:rsidRPr="00BD7CFA">
        <w:rPr>
          <w:rFonts w:hint="eastAsia"/>
          <w:sz w:val="24"/>
        </w:rPr>
        <w:t>11.</w:t>
      </w:r>
      <w:r w:rsidR="00AD2338" w:rsidRPr="00BD7CFA">
        <w:rPr>
          <w:rFonts w:hint="eastAsia"/>
          <w:sz w:val="24"/>
        </w:rPr>
        <w:t>成品胶囊出料时无需外接气源</w:t>
      </w:r>
      <w:r w:rsidRPr="00BD7CFA">
        <w:rPr>
          <w:rFonts w:hint="eastAsia"/>
          <w:sz w:val="24"/>
        </w:rPr>
        <w:t>，生产过程中无粉尘飞扬，同时有效避免成品胶囊在</w:t>
      </w:r>
      <w:proofErr w:type="gramStart"/>
      <w:r w:rsidRPr="00BD7CFA">
        <w:rPr>
          <w:rFonts w:hint="eastAsia"/>
          <w:sz w:val="24"/>
        </w:rPr>
        <w:t>出囊时被</w:t>
      </w:r>
      <w:proofErr w:type="gramEnd"/>
      <w:r w:rsidRPr="00BD7CFA">
        <w:rPr>
          <w:rFonts w:hint="eastAsia"/>
          <w:sz w:val="24"/>
        </w:rPr>
        <w:t>机械夹伤</w:t>
      </w:r>
      <w:r w:rsidRPr="00BD7CFA">
        <w:rPr>
          <w:rFonts w:hint="eastAsia"/>
          <w:sz w:val="24"/>
        </w:rPr>
        <w:t xml:space="preserve"> </w:t>
      </w:r>
    </w:p>
    <w:p w:rsidR="00AD2338" w:rsidRPr="00BD7CFA" w:rsidRDefault="00D06B5C" w:rsidP="00D06B5C">
      <w:pPr>
        <w:jc w:val="left"/>
        <w:rPr>
          <w:sz w:val="24"/>
        </w:rPr>
      </w:pPr>
      <w:r w:rsidRPr="00BD7CFA">
        <w:rPr>
          <w:rFonts w:hint="eastAsia"/>
          <w:sz w:val="24"/>
        </w:rPr>
        <w:t>12.</w:t>
      </w:r>
      <w:r w:rsidR="00AD2338" w:rsidRPr="00BD7CFA">
        <w:rPr>
          <w:rFonts w:hint="eastAsia"/>
          <w:sz w:val="24"/>
        </w:rPr>
        <w:t>药粉</w:t>
      </w:r>
      <w:proofErr w:type="gramStart"/>
      <w:r w:rsidR="00AD2338" w:rsidRPr="00BD7CFA">
        <w:rPr>
          <w:rFonts w:hint="eastAsia"/>
          <w:sz w:val="24"/>
        </w:rPr>
        <w:t>回收器</w:t>
      </w:r>
      <w:proofErr w:type="gramEnd"/>
      <w:r w:rsidR="00AD2338" w:rsidRPr="00BD7CFA">
        <w:rPr>
          <w:rFonts w:hint="eastAsia"/>
          <w:sz w:val="24"/>
        </w:rPr>
        <w:t>具备药粉独立分流系统，能够精确回收药粉，避免交叉污染，回收后的药粉可直接再次进行生产，方便高效。</w:t>
      </w:r>
    </w:p>
    <w:p w:rsidR="00AD2338" w:rsidRPr="00BD7CFA" w:rsidRDefault="00D06B5C" w:rsidP="00D06B5C">
      <w:pPr>
        <w:rPr>
          <w:sz w:val="24"/>
        </w:rPr>
      </w:pPr>
      <w:r w:rsidRPr="00BD7CFA">
        <w:rPr>
          <w:rFonts w:hint="eastAsia"/>
          <w:sz w:val="24"/>
        </w:rPr>
        <w:t>13</w:t>
      </w:r>
      <w:r w:rsidR="00AD2338" w:rsidRPr="00BD7CFA">
        <w:rPr>
          <w:rFonts w:hint="eastAsia"/>
          <w:sz w:val="24"/>
        </w:rPr>
        <w:t>配备传动机构自动供油系统，可实现定时，定量，定点自动供油。使传动机构始终保持润滑状态，提高设备使用寿命，减少配件磨损。</w:t>
      </w:r>
    </w:p>
    <w:p w:rsidR="00AD2338" w:rsidRPr="00BD7CFA" w:rsidRDefault="00AD2338" w:rsidP="00D06B5C">
      <w:pPr>
        <w:rPr>
          <w:sz w:val="24"/>
        </w:rPr>
      </w:pPr>
      <w:r w:rsidRPr="00BD7CFA">
        <w:rPr>
          <w:rFonts w:hint="eastAsia"/>
          <w:sz w:val="24"/>
        </w:rPr>
        <w:t xml:space="preserve"> </w:t>
      </w:r>
      <w:r w:rsidR="00D06B5C" w:rsidRPr="00BD7CFA">
        <w:rPr>
          <w:rFonts w:hint="eastAsia"/>
          <w:sz w:val="24"/>
        </w:rPr>
        <w:t>14.</w:t>
      </w:r>
      <w:r w:rsidRPr="00BD7CFA">
        <w:rPr>
          <w:rFonts w:hint="eastAsia"/>
          <w:sz w:val="24"/>
        </w:rPr>
        <w:t>整机全套质保期</w:t>
      </w:r>
      <w:r w:rsidR="00A91269" w:rsidRPr="00BD7CFA">
        <w:rPr>
          <w:rFonts w:hint="eastAsia"/>
          <w:sz w:val="24"/>
        </w:rPr>
        <w:t>≥</w:t>
      </w:r>
      <w:r w:rsidRPr="00BD7CFA">
        <w:rPr>
          <w:rFonts w:hint="eastAsia"/>
          <w:sz w:val="24"/>
        </w:rPr>
        <w:t>三年</w:t>
      </w:r>
    </w:p>
    <w:p w:rsidR="007D2BBC" w:rsidRPr="00BD7CFA" w:rsidRDefault="007D2BBC" w:rsidP="00BD7CFA">
      <w:pPr>
        <w:rPr>
          <w:sz w:val="24"/>
        </w:rPr>
      </w:pPr>
      <w:r w:rsidRPr="00BD7CFA">
        <w:rPr>
          <w:sz w:val="24"/>
        </w:rPr>
        <w:br w:type="page"/>
      </w:r>
    </w:p>
    <w:tbl>
      <w:tblPr>
        <w:tblpPr w:leftFromText="180" w:rightFromText="180" w:vertAnchor="text" w:horzAnchor="margin" w:tblpXSpec="center" w:tblpY="2"/>
        <w:tblOverlap w:val="never"/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3343"/>
        <w:gridCol w:w="5044"/>
      </w:tblGrid>
      <w:tr w:rsidR="002B47B4" w:rsidTr="00ED3C72">
        <w:trPr>
          <w:trHeight w:val="63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jc w:val="center"/>
              <w:rPr>
                <w:rFonts w:ascii="宋体" w:hAnsi="宋体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FFFFFF" w:themeColor="background1"/>
                <w:sz w:val="36"/>
                <w:szCs w:val="36"/>
              </w:rPr>
              <w:lastRenderedPageBreak/>
              <w:t>技</w:t>
            </w:r>
          </w:p>
          <w:p w:rsidR="002B47B4" w:rsidRDefault="002B47B4" w:rsidP="00600A58">
            <w:pPr>
              <w:jc w:val="center"/>
              <w:rPr>
                <w:rFonts w:ascii="宋体" w:hAnsi="宋体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FFFFFF" w:themeColor="background1"/>
                <w:sz w:val="36"/>
                <w:szCs w:val="36"/>
              </w:rPr>
              <w:t>术</w:t>
            </w:r>
          </w:p>
          <w:p w:rsidR="002B47B4" w:rsidRDefault="002B47B4" w:rsidP="00600A58">
            <w:pPr>
              <w:jc w:val="center"/>
              <w:rPr>
                <w:rFonts w:ascii="宋体" w:hAnsi="宋体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FFFFFF" w:themeColor="background1"/>
                <w:sz w:val="36"/>
                <w:szCs w:val="36"/>
              </w:rPr>
              <w:t>参</w:t>
            </w:r>
          </w:p>
          <w:p w:rsidR="002B47B4" w:rsidRDefault="002B47B4" w:rsidP="00600A5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 w:themeColor="background1"/>
                <w:sz w:val="36"/>
                <w:szCs w:val="36"/>
              </w:rPr>
              <w:t>数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007078">
            <w:pPr>
              <w:jc w:val="center"/>
              <w:rPr>
                <w:rFonts w:ascii="宋体" w:hAnsi="宋体"/>
                <w:b/>
                <w:bCs/>
                <w:color w:val="FFFFFF" w:themeColor="background1"/>
                <w:sz w:val="24"/>
              </w:rPr>
            </w:pP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最高产量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72000粒/小时</w:t>
            </w:r>
          </w:p>
        </w:tc>
      </w:tr>
      <w:tr w:rsidR="002B47B4" w:rsidTr="00600A58">
        <w:trPr>
          <w:trHeight w:val="604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机器体积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2B47B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不超过1200×1000×2200mm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电源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380/220V 50Hz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孔数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9孔</w:t>
            </w:r>
          </w:p>
        </w:tc>
      </w:tr>
      <w:tr w:rsidR="002B47B4" w:rsidTr="00DF548D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配吸尘</w:t>
            </w:r>
            <w:r w:rsidR="00E861AE">
              <w:rPr>
                <w:rFonts w:ascii="宋体" w:hAnsi="宋体" w:hint="eastAsia"/>
                <w:color w:val="000000" w:themeColor="text1"/>
                <w:sz w:val="24"/>
              </w:rPr>
              <w:t xml:space="preserve">       配压缩空气机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pacing w:val="20"/>
                <w:w w:val="90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上机率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pStyle w:val="1"/>
              <w:widowControl/>
              <w:shd w:val="clear" w:color="auto" w:fill="C7DAF1"/>
              <w:spacing w:beforeAutospacing="0" w:afterAutospacing="0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空胶囊≥99.9%   满胶囊≥99.8%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适应胶囊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DB3756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w w:val="90"/>
                <w:sz w:val="24"/>
              </w:rPr>
              <w:t>0</w:t>
            </w:r>
            <w:r w:rsidR="00DB3756">
              <w:rPr>
                <w:rFonts w:ascii="宋体" w:hAnsi="宋体" w:hint="eastAsia"/>
                <w:color w:val="000000"/>
                <w:spacing w:val="20"/>
                <w:w w:val="90"/>
                <w:sz w:val="24"/>
              </w:rPr>
              <w:t>号</w:t>
            </w:r>
            <w:r>
              <w:rPr>
                <w:rFonts w:ascii="宋体" w:hAnsi="宋体" w:hint="eastAsia"/>
                <w:color w:val="000000"/>
                <w:spacing w:val="20"/>
                <w:w w:val="90"/>
                <w:sz w:val="24"/>
              </w:rPr>
              <w:t>胶囊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装量精度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西药±3%  中药±4%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适应充填范围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DB3756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纯</w:t>
            </w:r>
            <w:r w:rsidR="002703CF">
              <w:rPr>
                <w:rFonts w:ascii="宋体" w:hAnsi="宋体" w:hint="eastAsia"/>
                <w:color w:val="000000" w:themeColor="text1"/>
                <w:sz w:val="24"/>
              </w:rPr>
              <w:t>中药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生</w:t>
            </w:r>
            <w:r w:rsidR="002703CF">
              <w:rPr>
                <w:rFonts w:ascii="宋体" w:hAnsi="宋体" w:hint="eastAsia"/>
                <w:color w:val="000000" w:themeColor="text1"/>
                <w:sz w:val="24"/>
              </w:rPr>
              <w:t>粉末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特殊功能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药粉收集器功能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pacing w:val="20"/>
                <w:w w:val="90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材料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药品直接接触的零部件采用316L不锈钢</w:t>
            </w:r>
          </w:p>
        </w:tc>
      </w:tr>
      <w:tr w:rsidR="002B47B4" w:rsidTr="00600A58">
        <w:trPr>
          <w:trHeight w:val="545"/>
          <w:jc w:val="center"/>
        </w:trPr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4F81BD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pacing w:val="20"/>
                <w:w w:val="90"/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2B47B4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规范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2B47B4" w:rsidRDefault="00E861AE" w:rsidP="00600A5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完全符合</w:t>
            </w:r>
            <w:proofErr w:type="spellStart"/>
            <w:r w:rsidR="002B47B4">
              <w:rPr>
                <w:rFonts w:ascii="宋体" w:hAnsi="宋体" w:hint="eastAsia"/>
                <w:color w:val="000000" w:themeColor="text1"/>
                <w:sz w:val="24"/>
              </w:rPr>
              <w:t>cGMP</w:t>
            </w:r>
            <w:proofErr w:type="spellEnd"/>
            <w:r w:rsidR="002B47B4">
              <w:rPr>
                <w:rFonts w:ascii="宋体" w:hAnsi="宋体" w:hint="eastAsia"/>
                <w:color w:val="000000" w:themeColor="text1"/>
                <w:sz w:val="24"/>
              </w:rPr>
              <w:t>要求</w:t>
            </w:r>
          </w:p>
        </w:tc>
      </w:tr>
    </w:tbl>
    <w:p w:rsidR="002B47B4" w:rsidRDefault="002B47B4" w:rsidP="00E861AE">
      <w:pPr>
        <w:spacing w:line="740" w:lineRule="exact"/>
        <w:rPr>
          <w:rFonts w:ascii="宋体" w:hAnsi="宋体"/>
          <w:b/>
          <w:bCs/>
          <w:color w:val="FF0000"/>
          <w:sz w:val="28"/>
          <w:szCs w:val="28"/>
        </w:rPr>
      </w:pPr>
    </w:p>
    <w:p w:rsidR="002B47B4" w:rsidRPr="002B47B4" w:rsidRDefault="002B47B4"/>
    <w:sectPr w:rsidR="002B47B4" w:rsidRPr="002B47B4" w:rsidSect="0044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08" w:rsidRDefault="001E4A08" w:rsidP="002B47B4">
      <w:r>
        <w:separator/>
      </w:r>
    </w:p>
  </w:endnote>
  <w:endnote w:type="continuationSeparator" w:id="0">
    <w:p w:rsidR="001E4A08" w:rsidRDefault="001E4A08" w:rsidP="002B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08" w:rsidRDefault="001E4A08" w:rsidP="002B47B4">
      <w:r>
        <w:separator/>
      </w:r>
    </w:p>
  </w:footnote>
  <w:footnote w:type="continuationSeparator" w:id="0">
    <w:p w:rsidR="001E4A08" w:rsidRDefault="001E4A08" w:rsidP="002B4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8F6"/>
    <w:multiLevelType w:val="multilevel"/>
    <w:tmpl w:val="315008F6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7B4"/>
    <w:rsid w:val="00007078"/>
    <w:rsid w:val="00112C83"/>
    <w:rsid w:val="001E4A08"/>
    <w:rsid w:val="002703CF"/>
    <w:rsid w:val="002B47B4"/>
    <w:rsid w:val="0036659C"/>
    <w:rsid w:val="00442007"/>
    <w:rsid w:val="004E74E3"/>
    <w:rsid w:val="0066290E"/>
    <w:rsid w:val="006A7E2F"/>
    <w:rsid w:val="007D2BBC"/>
    <w:rsid w:val="00A91269"/>
    <w:rsid w:val="00AD2338"/>
    <w:rsid w:val="00BD7CFA"/>
    <w:rsid w:val="00D06B5C"/>
    <w:rsid w:val="00D62B87"/>
    <w:rsid w:val="00DB3756"/>
    <w:rsid w:val="00E8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47B4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7B4"/>
    <w:rPr>
      <w:sz w:val="18"/>
      <w:szCs w:val="18"/>
    </w:rPr>
  </w:style>
  <w:style w:type="character" w:customStyle="1" w:styleId="1Char">
    <w:name w:val="标题 1 Char"/>
    <w:basedOn w:val="a0"/>
    <w:link w:val="1"/>
    <w:rsid w:val="002B47B4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5">
    <w:name w:val="Table Grid"/>
    <w:basedOn w:val="a1"/>
    <w:qFormat/>
    <w:rsid w:val="007D2BB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2B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2B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cp:lastPrinted>2024-09-13T02:53:00Z</cp:lastPrinted>
  <dcterms:created xsi:type="dcterms:W3CDTF">2024-09-14T06:59:00Z</dcterms:created>
  <dcterms:modified xsi:type="dcterms:W3CDTF">2024-09-14T06:59:00Z</dcterms:modified>
</cp:coreProperties>
</file>